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Ind w:w="55" w:type="dxa"/>
        <w:tblCellMar>
          <w:top w:w="55" w:type="dxa"/>
          <w:left w:w="55" w:type="dxa"/>
          <w:bottom w:w="55" w:type="dxa"/>
          <w:right w:w="55" w:type="dxa"/>
        </w:tblCellMar>
        <w:tblLook w:val="0000"/>
      </w:tblPr>
      <w:tblGrid>
        <w:gridCol w:w="2032"/>
        <w:gridCol w:w="2033"/>
        <w:gridCol w:w="2531"/>
        <w:gridCol w:w="2042"/>
        <w:gridCol w:w="1532"/>
      </w:tblGrid>
      <w:tr w:rsidR="00953611">
        <w:trPr>
          <w:trHeight w:val="1626"/>
        </w:trPr>
        <w:tc>
          <w:tcPr>
            <w:tcW w:w="2032" w:type="dxa"/>
            <w:shd w:val="clear" w:color="auto" w:fill="auto"/>
            <w:vAlign w:val="center"/>
          </w:tcPr>
          <w:p w:rsidR="00953611" w:rsidRDefault="0050359C">
            <w:pPr>
              <w:pStyle w:val="Contenutotabella"/>
            </w:pPr>
            <w:r>
              <w:rPr>
                <w:noProof/>
                <w:lang w:eastAsia="it-IT"/>
              </w:rPr>
              <w:drawing>
                <wp:inline distT="0" distB="0" distL="0" distR="0">
                  <wp:extent cx="1104900" cy="41910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4" cstate="print"/>
                          <a:stretch>
                            <a:fillRect/>
                          </a:stretch>
                        </pic:blipFill>
                        <pic:spPr bwMode="auto">
                          <a:xfrm>
                            <a:off x="0" y="0"/>
                            <a:ext cx="1104900" cy="419100"/>
                          </a:xfrm>
                          <a:prstGeom prst="rect">
                            <a:avLst/>
                          </a:prstGeom>
                          <a:noFill/>
                          <a:ln w="9525">
                            <a:noFill/>
                            <a:miter lim="800000"/>
                            <a:headEnd/>
                            <a:tailEnd/>
                          </a:ln>
                        </pic:spPr>
                      </pic:pic>
                    </a:graphicData>
                  </a:graphic>
                </wp:inline>
              </w:drawing>
            </w:r>
          </w:p>
        </w:tc>
        <w:tc>
          <w:tcPr>
            <w:tcW w:w="2033" w:type="dxa"/>
            <w:shd w:val="clear" w:color="auto" w:fill="auto"/>
            <w:vAlign w:val="center"/>
          </w:tcPr>
          <w:p w:rsidR="00953611" w:rsidRDefault="0050359C">
            <w:pPr>
              <w:pStyle w:val="Contenutotabella"/>
            </w:pPr>
            <w:r>
              <w:rPr>
                <w:noProof/>
                <w:lang w:eastAsia="it-IT"/>
              </w:rPr>
              <w:drawing>
                <wp:inline distT="0" distB="0" distL="0" distR="0">
                  <wp:extent cx="1133475" cy="561975"/>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5" cstate="print"/>
                          <a:stretch>
                            <a:fillRect/>
                          </a:stretch>
                        </pic:blipFill>
                        <pic:spPr bwMode="auto">
                          <a:xfrm>
                            <a:off x="0" y="0"/>
                            <a:ext cx="1133475" cy="561975"/>
                          </a:xfrm>
                          <a:prstGeom prst="rect">
                            <a:avLst/>
                          </a:prstGeom>
                          <a:noFill/>
                          <a:ln w="9525">
                            <a:noFill/>
                            <a:miter lim="800000"/>
                            <a:headEnd/>
                            <a:tailEnd/>
                          </a:ln>
                        </pic:spPr>
                      </pic:pic>
                    </a:graphicData>
                  </a:graphic>
                </wp:inline>
              </w:drawing>
            </w:r>
          </w:p>
        </w:tc>
        <w:tc>
          <w:tcPr>
            <w:tcW w:w="2531" w:type="dxa"/>
            <w:shd w:val="clear" w:color="auto" w:fill="auto"/>
            <w:vAlign w:val="center"/>
          </w:tcPr>
          <w:p w:rsidR="00953611" w:rsidRDefault="0050359C">
            <w:pPr>
              <w:pStyle w:val="Contenutotabella"/>
              <w:jc w:val="center"/>
            </w:pPr>
            <w:r>
              <w:rPr>
                <w:noProof/>
                <w:lang w:eastAsia="it-IT"/>
              </w:rPr>
              <w:drawing>
                <wp:inline distT="0" distB="0" distL="0" distR="0">
                  <wp:extent cx="1221105" cy="39243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6" cstate="print"/>
                          <a:stretch>
                            <a:fillRect/>
                          </a:stretch>
                        </pic:blipFill>
                        <pic:spPr bwMode="auto">
                          <a:xfrm>
                            <a:off x="0" y="0"/>
                            <a:ext cx="1221105" cy="392430"/>
                          </a:xfrm>
                          <a:prstGeom prst="rect">
                            <a:avLst/>
                          </a:prstGeom>
                          <a:noFill/>
                          <a:ln w="9525">
                            <a:noFill/>
                            <a:miter lim="800000"/>
                            <a:headEnd/>
                            <a:tailEnd/>
                          </a:ln>
                        </pic:spPr>
                      </pic:pic>
                    </a:graphicData>
                  </a:graphic>
                </wp:inline>
              </w:drawing>
            </w:r>
          </w:p>
        </w:tc>
        <w:tc>
          <w:tcPr>
            <w:tcW w:w="2042" w:type="dxa"/>
            <w:shd w:val="clear" w:color="auto" w:fill="auto"/>
            <w:vAlign w:val="center"/>
          </w:tcPr>
          <w:p w:rsidR="00953611" w:rsidRDefault="00A4641A">
            <w:pPr>
              <w:pStyle w:val="Contenutotabella"/>
            </w:pPr>
            <w:r>
              <w:rPr>
                <w:noProof/>
                <w:lang w:eastAsia="it-IT"/>
              </w:rPr>
              <w:drawing>
                <wp:inline distT="0" distB="0" distL="0" distR="0">
                  <wp:extent cx="981075" cy="552450"/>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pic:cNvPicPr>
                            <a:picLocks noChangeAspect="1" noChangeArrowheads="1"/>
                          </pic:cNvPicPr>
                        </pic:nvPicPr>
                        <pic:blipFill>
                          <a:blip r:embed="rId7" cstate="print"/>
                          <a:stretch>
                            <a:fillRect/>
                          </a:stretch>
                        </pic:blipFill>
                        <pic:spPr bwMode="auto">
                          <a:xfrm>
                            <a:off x="0" y="0"/>
                            <a:ext cx="981075" cy="552450"/>
                          </a:xfrm>
                          <a:prstGeom prst="rect">
                            <a:avLst/>
                          </a:prstGeom>
                          <a:noFill/>
                          <a:ln w="9525">
                            <a:noFill/>
                            <a:miter lim="800000"/>
                            <a:headEnd/>
                            <a:tailEnd/>
                          </a:ln>
                        </pic:spPr>
                      </pic:pic>
                    </a:graphicData>
                  </a:graphic>
                </wp:inline>
              </w:drawing>
            </w:r>
          </w:p>
        </w:tc>
        <w:tc>
          <w:tcPr>
            <w:tcW w:w="1532" w:type="dxa"/>
            <w:shd w:val="clear" w:color="auto" w:fill="auto"/>
            <w:vAlign w:val="center"/>
          </w:tcPr>
          <w:p w:rsidR="00953611" w:rsidRDefault="00953611">
            <w:pPr>
              <w:pStyle w:val="Contenutotabella"/>
              <w:jc w:val="center"/>
            </w:pPr>
          </w:p>
        </w:tc>
      </w:tr>
    </w:tbl>
    <w:p w:rsidR="00A4641A" w:rsidRPr="00A4641A" w:rsidRDefault="00A4641A" w:rsidP="00A4641A">
      <w:pPr>
        <w:widowControl w:val="0"/>
        <w:suppressAutoHyphens w:val="0"/>
        <w:autoSpaceDE w:val="0"/>
        <w:autoSpaceDN w:val="0"/>
        <w:adjustRightInd w:val="0"/>
        <w:spacing w:after="200" w:line="276" w:lineRule="auto"/>
        <w:jc w:val="center"/>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POTENZA</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Arial"/>
          <w:sz w:val="24"/>
          <w:szCs w:val="24"/>
          <w:lang w:eastAsia="it-IT"/>
        </w:rPr>
      </w:pP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Arial"/>
          <w:sz w:val="24"/>
          <w:szCs w:val="24"/>
          <w:lang w:eastAsia="it-IT"/>
        </w:rPr>
      </w:pPr>
      <w:bookmarkStart w:id="0" w:name="_Hlk81944822"/>
      <w:r w:rsidRPr="00A4641A">
        <w:rPr>
          <w:rFonts w:ascii="Bookman Old Style" w:eastAsia="Times New Roman" w:hAnsi="Bookman Old Style" w:cs="Arial"/>
          <w:sz w:val="24"/>
          <w:szCs w:val="24"/>
          <w:lang w:eastAsia="it-IT"/>
        </w:rPr>
        <w:t xml:space="preserve">Alla Dirigente   </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Dell’ Ufficio Scolastico Regionale Basilicata</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Ambito Territoriale Provinciale di Potenza</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Times New Roman"/>
          <w:sz w:val="24"/>
          <w:szCs w:val="24"/>
          <w:lang w:eastAsia="it-IT"/>
        </w:rPr>
      </w:pPr>
      <w:r w:rsidRPr="00A4641A">
        <w:rPr>
          <w:rFonts w:ascii="Bookman Old Style" w:eastAsia="Times New Roman" w:hAnsi="Bookman Old Style" w:cs="Times New Roman"/>
          <w:sz w:val="24"/>
          <w:szCs w:val="24"/>
          <w:lang w:eastAsia="it-IT"/>
        </w:rPr>
        <w:t>Piazza delle Regioni n. snc</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Times New Roman"/>
          <w:sz w:val="24"/>
          <w:szCs w:val="24"/>
          <w:lang w:eastAsia="it-IT"/>
        </w:rPr>
      </w:pPr>
      <w:r w:rsidRPr="00A4641A">
        <w:rPr>
          <w:rFonts w:ascii="Bookman Old Style" w:eastAsia="Times New Roman" w:hAnsi="Bookman Old Style" w:cs="Times New Roman"/>
          <w:sz w:val="24"/>
          <w:szCs w:val="24"/>
          <w:lang w:eastAsia="it-IT"/>
        </w:rPr>
        <w:t xml:space="preserve">C.A.P. 85100 Città Potenza </w:t>
      </w:r>
    </w:p>
    <w:p w:rsidR="00A4641A" w:rsidRPr="00A4641A" w:rsidRDefault="00A4641A" w:rsidP="00A4641A">
      <w:pPr>
        <w:suppressAutoHyphens w:val="0"/>
        <w:spacing w:after="0" w:line="480" w:lineRule="auto"/>
        <w:ind w:left="-540"/>
        <w:contextualSpacing/>
        <w:jc w:val="right"/>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usp.pz@istruzione.it</w:t>
      </w:r>
    </w:p>
    <w:p w:rsidR="00A4641A" w:rsidRPr="00A4641A" w:rsidRDefault="00A4641A" w:rsidP="00A4641A">
      <w:pPr>
        <w:tabs>
          <w:tab w:val="left" w:pos="9638"/>
        </w:tabs>
        <w:suppressAutoHyphens w:val="0"/>
        <w:spacing w:after="0" w:line="240" w:lineRule="auto"/>
        <w:ind w:right="-1"/>
        <w:jc w:val="both"/>
        <w:rPr>
          <w:rFonts w:ascii="Bookman Old Style" w:eastAsia="Times New Roman" w:hAnsi="Bookman Old Style" w:cs="Arial"/>
          <w:b/>
          <w:sz w:val="24"/>
          <w:szCs w:val="24"/>
          <w:u w:val="single"/>
          <w:lang w:val="en-US" w:eastAsia="it-IT"/>
        </w:rPr>
      </w:pPr>
    </w:p>
    <w:p w:rsidR="00A4641A" w:rsidRPr="00A4641A" w:rsidRDefault="00A4641A" w:rsidP="00A4641A">
      <w:pPr>
        <w:tabs>
          <w:tab w:val="left" w:pos="9638"/>
        </w:tabs>
        <w:suppressAutoHyphens w:val="0"/>
        <w:spacing w:after="0" w:line="240" w:lineRule="auto"/>
        <w:ind w:right="-1"/>
        <w:jc w:val="both"/>
        <w:rPr>
          <w:rFonts w:ascii="Bookman Old Style" w:eastAsia="Times New Roman" w:hAnsi="Bookman Old Style" w:cs="Times New Roman"/>
          <w:b/>
          <w:sz w:val="24"/>
          <w:szCs w:val="24"/>
          <w:u w:val="single"/>
          <w:lang w:eastAsia="it-IT"/>
        </w:rPr>
      </w:pPr>
      <w:r w:rsidRPr="00A4641A">
        <w:rPr>
          <w:rFonts w:ascii="Bookman Old Style" w:eastAsia="Times New Roman" w:hAnsi="Bookman Old Style" w:cs="Arial"/>
          <w:b/>
          <w:sz w:val="24"/>
          <w:szCs w:val="24"/>
          <w:u w:val="single"/>
          <w:lang w:eastAsia="it-IT"/>
        </w:rPr>
        <w:t xml:space="preserve">OGGETTO: </w:t>
      </w:r>
      <w:r w:rsidRPr="00A4641A">
        <w:rPr>
          <w:rFonts w:ascii="Bookman Old Style" w:eastAsia="Times New Roman" w:hAnsi="Bookman Old Style" w:cs="Times New Roman"/>
          <w:b/>
          <w:bCs/>
          <w:sz w:val="24"/>
          <w:szCs w:val="24"/>
          <w:u w:val="single"/>
          <w:lang w:eastAsia="it-IT"/>
        </w:rPr>
        <w:t xml:space="preserve">Esposto avverso proposte contratto a tempo determinato personale docente </w:t>
      </w:r>
      <w:proofErr w:type="spellStart"/>
      <w:r w:rsidRPr="00A4641A">
        <w:rPr>
          <w:rFonts w:ascii="Bookman Old Style" w:eastAsia="Times New Roman" w:hAnsi="Bookman Old Style" w:cs="Times New Roman"/>
          <w:b/>
          <w:bCs/>
          <w:sz w:val="24"/>
          <w:szCs w:val="24"/>
          <w:u w:val="single"/>
          <w:lang w:eastAsia="it-IT"/>
        </w:rPr>
        <w:t>a.s.</w:t>
      </w:r>
      <w:proofErr w:type="spellEnd"/>
      <w:r w:rsidRPr="00A4641A">
        <w:rPr>
          <w:rFonts w:ascii="Bookman Old Style" w:eastAsia="Times New Roman" w:hAnsi="Bookman Old Style" w:cs="Times New Roman"/>
          <w:b/>
          <w:bCs/>
          <w:sz w:val="24"/>
          <w:szCs w:val="24"/>
          <w:u w:val="single"/>
          <w:lang w:eastAsia="it-IT"/>
        </w:rPr>
        <w:t xml:space="preserve"> 2021/22 - m_pi.AOOUSPPZ.Registro Decreti(U).0000460.06-09-2021 e istanza di annullamento e rifacimento in autotutela dei provvedimenti disposti.</w:t>
      </w:r>
    </w:p>
    <w:p w:rsidR="00A4641A" w:rsidRPr="00A4641A" w:rsidRDefault="00A4641A" w:rsidP="00A4641A">
      <w:pPr>
        <w:suppressAutoHyphens w:val="0"/>
        <w:spacing w:after="0" w:line="480" w:lineRule="auto"/>
        <w:contextualSpacing/>
        <w:jc w:val="both"/>
        <w:rPr>
          <w:rFonts w:ascii="Bookman Old Style" w:eastAsia="Times New Roman" w:hAnsi="Bookman Old Style" w:cs="Arial"/>
          <w:sz w:val="24"/>
          <w:szCs w:val="24"/>
          <w:u w:val="single"/>
          <w:lang w:eastAsia="it-IT"/>
        </w:rPr>
      </w:pP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Le scriventi </w:t>
      </w:r>
      <w:proofErr w:type="spellStart"/>
      <w:r w:rsidRPr="00A4641A">
        <w:rPr>
          <w:rFonts w:ascii="Bookman Old Style" w:eastAsia="Times New Roman" w:hAnsi="Bookman Old Style" w:cs="Arial"/>
          <w:sz w:val="24"/>
          <w:szCs w:val="24"/>
          <w:lang w:eastAsia="it-IT"/>
        </w:rPr>
        <w:t>OO.SS</w:t>
      </w:r>
      <w:proofErr w:type="spellEnd"/>
      <w:r w:rsidRPr="00A4641A">
        <w:rPr>
          <w:rFonts w:ascii="Bookman Old Style" w:eastAsia="Times New Roman" w:hAnsi="Bookman Old Style" w:cs="Arial"/>
          <w:sz w:val="24"/>
          <w:szCs w:val="24"/>
          <w:lang w:eastAsia="it-IT"/>
        </w:rPr>
        <w:t>. territoriali della provincia di Potenza, presa visione del tabulato riepilogativo delle nomine per l’assegnazione di contratti a tempo determinato su posti di supplenza annuale o sino al termine delle attività didattiche, pubblicato da Codesto Ufficio Scolastico in data 06/09/2021, riscontrano la presenza nel suddetto elenco di molteplici anomalie e incongruenze (punteggi errati, mancate nomine, nomine da errata tipologia di graduatoria, mancata attribuzione delle riserve di legge, ecc.).</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Considerato che per via di questi errori sono scaturite assegnazioni di sedi che non rispettano l’ordine di graduatoria degli aspiranti e che non consentono di verificare in alcun modo l’eventuale rispetto delle precedenze e delle quote di riserva (non si evince in alcun modo dal tabulato, seppur nel rispetto della </w:t>
      </w:r>
      <w:r w:rsidRPr="00A4641A">
        <w:rPr>
          <w:rFonts w:ascii="Bookman Old Style" w:eastAsia="Times New Roman" w:hAnsi="Bookman Old Style" w:cs="Arial"/>
          <w:sz w:val="24"/>
          <w:szCs w:val="24"/>
          <w:lang w:eastAsia="it-IT"/>
        </w:rPr>
        <w:lastRenderedPageBreak/>
        <w:t xml:space="preserve">privacy, la presenza di siffatte situazioni) evidenziano la totale mancanza di trasparenza delle procedure adottate, che, in alcuni casi, non rispecchiano la volontà espressa dai docenti mediante le domande inviate tramite piattaforma ”Istanze on </w:t>
      </w:r>
      <w:proofErr w:type="spellStart"/>
      <w:r w:rsidRPr="00A4641A">
        <w:rPr>
          <w:rFonts w:ascii="Bookman Old Style" w:eastAsia="Times New Roman" w:hAnsi="Bookman Old Style" w:cs="Arial"/>
          <w:sz w:val="24"/>
          <w:szCs w:val="24"/>
          <w:lang w:eastAsia="it-IT"/>
        </w:rPr>
        <w:t>line</w:t>
      </w:r>
      <w:proofErr w:type="spellEnd"/>
      <w:r w:rsidRPr="00A4641A">
        <w:rPr>
          <w:rFonts w:ascii="Bookman Old Style" w:eastAsia="Times New Roman" w:hAnsi="Bookman Old Style" w:cs="Arial"/>
          <w:sz w:val="24"/>
          <w:szCs w:val="24"/>
          <w:lang w:eastAsia="it-IT"/>
        </w:rPr>
        <w:t>”.</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A questo aggiungono che talune delle anomalie segnalate possono essere addebitabili anche a precedenti errori di attribuzioni di punteggi nelle graduatorie (anch’esse peraltro segnalate dagli interessati entro i termini), così come a mancate operazioni di depennamento dalle </w:t>
      </w:r>
      <w:proofErr w:type="spellStart"/>
      <w:r w:rsidRPr="00A4641A">
        <w:rPr>
          <w:rFonts w:ascii="Bookman Old Style" w:eastAsia="Times New Roman" w:hAnsi="Bookman Old Style" w:cs="Arial"/>
          <w:sz w:val="24"/>
          <w:szCs w:val="24"/>
          <w:lang w:eastAsia="it-IT"/>
        </w:rPr>
        <w:t>GaE</w:t>
      </w:r>
      <w:proofErr w:type="spellEnd"/>
      <w:r w:rsidRPr="00A4641A">
        <w:rPr>
          <w:rFonts w:ascii="Bookman Old Style" w:eastAsia="Times New Roman" w:hAnsi="Bookman Old Style" w:cs="Arial"/>
          <w:sz w:val="24"/>
          <w:szCs w:val="24"/>
          <w:lang w:eastAsia="it-IT"/>
        </w:rPr>
        <w:t xml:space="preserve"> dei docenti rinunciatari delle nomine a </w:t>
      </w:r>
      <w:proofErr w:type="spellStart"/>
      <w:r w:rsidRPr="00A4641A">
        <w:rPr>
          <w:rFonts w:ascii="Bookman Old Style" w:eastAsia="Times New Roman" w:hAnsi="Bookman Old Style" w:cs="Arial"/>
          <w:sz w:val="24"/>
          <w:szCs w:val="24"/>
          <w:lang w:eastAsia="it-IT"/>
        </w:rPr>
        <w:t>T.I.</w:t>
      </w:r>
      <w:proofErr w:type="spellEnd"/>
      <w:r w:rsidRPr="00A4641A">
        <w:rPr>
          <w:rFonts w:ascii="Bookman Old Style" w:eastAsia="Times New Roman" w:hAnsi="Bookman Old Style" w:cs="Arial"/>
          <w:sz w:val="24"/>
          <w:szCs w:val="24"/>
          <w:lang w:eastAsia="it-IT"/>
        </w:rPr>
        <w:t xml:space="preserve"> (</w:t>
      </w:r>
      <w:proofErr w:type="spellStart"/>
      <w:r w:rsidRPr="00A4641A">
        <w:rPr>
          <w:rFonts w:ascii="Bookman Old Style" w:eastAsia="Times New Roman" w:hAnsi="Bookman Old Style" w:cs="Arial"/>
          <w:sz w:val="24"/>
          <w:szCs w:val="24"/>
          <w:lang w:eastAsia="it-IT"/>
        </w:rPr>
        <w:t>vedasi</w:t>
      </w:r>
      <w:proofErr w:type="spellEnd"/>
      <w:r w:rsidRPr="00A4641A">
        <w:rPr>
          <w:rFonts w:ascii="Bookman Old Style" w:eastAsia="Times New Roman" w:hAnsi="Bookman Old Style" w:cs="Arial"/>
          <w:sz w:val="24"/>
          <w:szCs w:val="24"/>
          <w:lang w:eastAsia="it-IT"/>
        </w:rPr>
        <w:t xml:space="preserve"> casi dei cosiddetti diplomati magistrali).</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Malgrado le timide e poco rassicuranti affermazioni di fonte ministeriale circa le correzioni dei malfunzionamenti della piattaforma, che alla luce dei risultati ci appaiono assai improbabili, non possono non costatare come questa incresciosa situazione altro non è che la conseguenza di un disastro annunciato, frutto della pervicace volontà di questo Ministro di affidare il complesso meccanismo di attribuzione delle supplenze ad una procedura che sin da subito è apparsa improvvisata e farraginosa, il cui esito richiama tristemente alla memoria i fallimentari precedenti degli algoritmi della Buona Scuola di </w:t>
      </w:r>
      <w:proofErr w:type="spellStart"/>
      <w:r w:rsidRPr="00A4641A">
        <w:rPr>
          <w:rFonts w:ascii="Bookman Old Style" w:eastAsia="Times New Roman" w:hAnsi="Bookman Old Style" w:cs="Arial"/>
          <w:sz w:val="24"/>
          <w:szCs w:val="24"/>
          <w:lang w:eastAsia="it-IT"/>
        </w:rPr>
        <w:t>Renzi</w:t>
      </w:r>
      <w:proofErr w:type="spellEnd"/>
      <w:r w:rsidRPr="00A4641A">
        <w:rPr>
          <w:rFonts w:ascii="Bookman Old Style" w:eastAsia="Times New Roman" w:hAnsi="Bookman Old Style" w:cs="Arial"/>
          <w:sz w:val="24"/>
          <w:szCs w:val="24"/>
          <w:lang w:eastAsia="it-IT"/>
        </w:rPr>
        <w:t>.</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Una procedura spiccia e “all’ingrosso”, fatta sulla pelle dei lavoratori e dei loro diritti e in assenza di trasparenza e certezza del diritto, che invece di velocizzare le operazioni ha creato disfunzioni e diseconomie su larga scala, che costringe a denunciare il fallimento delle scelte ministeriali e a chiedere a codesto ufficio di sospendere nell’immediato l’efficacia delle nomine disposte con conseguente rifacimento delle operazioni. </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Decisione tra l’altro presa da diversi Ambiti Territoriali!</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lastRenderedPageBreak/>
        <w:t xml:space="preserve">Non sarebbe accettabile, a pochi giorni dall’apertura della Scuola, alla </w:t>
      </w:r>
      <w:proofErr w:type="spellStart"/>
      <w:r w:rsidRPr="00A4641A">
        <w:rPr>
          <w:rFonts w:ascii="Bookman Old Style" w:eastAsia="Times New Roman" w:hAnsi="Bookman Old Style" w:cs="Arial"/>
          <w:sz w:val="24"/>
          <w:szCs w:val="24"/>
          <w:lang w:eastAsia="it-IT"/>
        </w:rPr>
        <w:t>viglia</w:t>
      </w:r>
      <w:proofErr w:type="spellEnd"/>
      <w:r w:rsidRPr="00A4641A">
        <w:rPr>
          <w:rFonts w:ascii="Bookman Old Style" w:eastAsia="Times New Roman" w:hAnsi="Bookman Old Style" w:cs="Arial"/>
          <w:sz w:val="24"/>
          <w:szCs w:val="24"/>
          <w:lang w:eastAsia="it-IT"/>
        </w:rPr>
        <w:t xml:space="preserve"> di un nuovo e complicato anno scolastico, indurre i docenti a ricorrere alle vie legali per veder riconosciuti i legittimi e sacrosanti diritti, o peggio ancora assistere nuovamente all’avvicendamento dei docenti laddove si decidesse, ancora frettolosamente, di ricorrere a singole, parziali e manuali correzioni, che magari non considerano neanche le interrelazioni fra graduatorie e insegnamenti o la molteplice presenza dei docenti in svariate graduatorie.</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 xml:space="preserve">Consapevoli delle difficoltà che una simile richiesta comporta, ma altrettanto certi della legittimità oltre che della imprescindibilità della stessa, le scriventi </w:t>
      </w:r>
      <w:proofErr w:type="spellStart"/>
      <w:r w:rsidRPr="00A4641A">
        <w:rPr>
          <w:rFonts w:ascii="Bookman Old Style" w:eastAsia="Times New Roman" w:hAnsi="Bookman Old Style" w:cs="Arial"/>
          <w:sz w:val="24"/>
          <w:szCs w:val="24"/>
          <w:lang w:eastAsia="it-IT"/>
        </w:rPr>
        <w:t>OO.SS</w:t>
      </w:r>
      <w:proofErr w:type="spellEnd"/>
      <w:r w:rsidRPr="00A4641A">
        <w:rPr>
          <w:rFonts w:ascii="Bookman Old Style" w:eastAsia="Times New Roman" w:hAnsi="Bookman Old Style" w:cs="Arial"/>
          <w:sz w:val="24"/>
          <w:szCs w:val="24"/>
          <w:lang w:eastAsia="it-IT"/>
        </w:rPr>
        <w:t xml:space="preserve">. contestualmente si dichiarano disponibili ad un incontro con la S.V. per meglio evidenziare le singole problematiche rilevate. </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Fiducios</w:t>
      </w:r>
      <w:r>
        <w:rPr>
          <w:rFonts w:ascii="Bookman Old Style" w:eastAsia="Times New Roman" w:hAnsi="Bookman Old Style" w:cs="Arial"/>
          <w:sz w:val="24"/>
          <w:szCs w:val="24"/>
          <w:lang w:eastAsia="it-IT"/>
        </w:rPr>
        <w:t>e</w:t>
      </w:r>
      <w:r w:rsidRPr="00A4641A">
        <w:rPr>
          <w:rFonts w:ascii="Bookman Old Style" w:eastAsia="Times New Roman" w:hAnsi="Bookman Old Style" w:cs="Arial"/>
          <w:sz w:val="24"/>
          <w:szCs w:val="24"/>
          <w:lang w:eastAsia="it-IT"/>
        </w:rPr>
        <w:t xml:space="preserve"> in un immediato e positivo riscontro alla presente, porgono cordiali saluti.</w:t>
      </w:r>
    </w:p>
    <w:p w:rsidR="00A4641A" w:rsidRPr="00A4641A" w:rsidRDefault="00A4641A" w:rsidP="00A4641A">
      <w:pPr>
        <w:tabs>
          <w:tab w:val="left" w:pos="8916"/>
        </w:tabs>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r w:rsidRPr="00A4641A">
        <w:rPr>
          <w:rFonts w:ascii="Bookman Old Style" w:eastAsia="Times New Roman" w:hAnsi="Bookman Old Style" w:cs="Arial"/>
          <w:sz w:val="24"/>
          <w:szCs w:val="24"/>
          <w:lang w:eastAsia="it-IT"/>
        </w:rPr>
        <w:t>Potenza, 07/09/2021</w:t>
      </w: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t>Per le segreterie territoriali</w:t>
      </w: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p>
    <w:bookmarkEnd w:id="0"/>
    <w:p w:rsidR="00A4641A" w:rsidRPr="00A4641A" w:rsidRDefault="00A4641A" w:rsidP="00A4641A">
      <w:pPr>
        <w:suppressAutoHyphens w:val="0"/>
        <w:spacing w:after="200" w:line="276" w:lineRule="auto"/>
        <w:jc w:val="right"/>
        <w:rPr>
          <w:rFonts w:ascii="Arial" w:eastAsia="Times New Roman" w:hAnsi="Arial" w:cs="Arial"/>
          <w:i/>
          <w:iCs/>
          <w:lang w:eastAsia="it-IT"/>
        </w:rPr>
      </w:pP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r>
      <w:r w:rsidRPr="00A4641A">
        <w:rPr>
          <w:rFonts w:ascii="Bookman Old Style" w:eastAsia="Times New Roman" w:hAnsi="Bookman Old Style" w:cs="Arial"/>
          <w:sz w:val="24"/>
          <w:szCs w:val="24"/>
          <w:lang w:eastAsia="it-IT"/>
        </w:rPr>
        <w:tab/>
        <w:t xml:space="preserve">P. </w:t>
      </w:r>
      <w:proofErr w:type="spellStart"/>
      <w:r w:rsidRPr="00A4641A">
        <w:rPr>
          <w:rFonts w:ascii="Bookman Old Style" w:eastAsia="Times New Roman" w:hAnsi="Bookman Old Style" w:cs="Arial"/>
          <w:sz w:val="24"/>
          <w:szCs w:val="24"/>
          <w:lang w:eastAsia="it-IT"/>
        </w:rPr>
        <w:t>Laguardia</w:t>
      </w:r>
      <w:proofErr w:type="spellEnd"/>
      <w:r w:rsidRPr="00A4641A">
        <w:rPr>
          <w:rFonts w:ascii="Bookman Old Style" w:eastAsia="Times New Roman" w:hAnsi="Bookman Old Style" w:cs="Arial"/>
          <w:sz w:val="24"/>
          <w:szCs w:val="24"/>
          <w:lang w:eastAsia="it-IT"/>
        </w:rPr>
        <w:t xml:space="preserve">/M. </w:t>
      </w:r>
      <w:proofErr w:type="spellStart"/>
      <w:r w:rsidRPr="00A4641A">
        <w:rPr>
          <w:rFonts w:ascii="Bookman Old Style" w:eastAsia="Times New Roman" w:hAnsi="Bookman Old Style" w:cs="Arial"/>
          <w:sz w:val="24"/>
          <w:szCs w:val="24"/>
          <w:lang w:eastAsia="it-IT"/>
        </w:rPr>
        <w:t>Capalbi</w:t>
      </w:r>
      <w:proofErr w:type="spellEnd"/>
      <w:r w:rsidRPr="00A4641A">
        <w:rPr>
          <w:rFonts w:ascii="Bookman Old Style" w:eastAsia="Times New Roman" w:hAnsi="Bookman Old Style" w:cs="Arial"/>
          <w:sz w:val="24"/>
          <w:szCs w:val="24"/>
          <w:lang w:eastAsia="it-IT"/>
        </w:rPr>
        <w:t xml:space="preserve">/L. Veltri/S. </w:t>
      </w:r>
      <w:proofErr w:type="spellStart"/>
      <w:r w:rsidRPr="00A4641A">
        <w:rPr>
          <w:rFonts w:ascii="Bookman Old Style" w:eastAsia="Times New Roman" w:hAnsi="Bookman Old Style" w:cs="Arial"/>
          <w:sz w:val="24"/>
          <w:szCs w:val="24"/>
          <w:lang w:eastAsia="it-IT"/>
        </w:rPr>
        <w:t>Lolaico</w:t>
      </w:r>
      <w:proofErr w:type="spellEnd"/>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p>
    <w:p w:rsidR="00A4641A" w:rsidRPr="00A4641A" w:rsidRDefault="00A4641A" w:rsidP="00A4641A">
      <w:pPr>
        <w:suppressAutoHyphens w:val="0"/>
        <w:autoSpaceDE w:val="0"/>
        <w:autoSpaceDN w:val="0"/>
        <w:adjustRightInd w:val="0"/>
        <w:spacing w:after="0" w:line="480" w:lineRule="auto"/>
        <w:contextualSpacing/>
        <w:jc w:val="both"/>
        <w:rPr>
          <w:rFonts w:ascii="Bookman Old Style" w:eastAsia="Times New Roman" w:hAnsi="Bookman Old Style" w:cs="Arial"/>
          <w:sz w:val="24"/>
          <w:szCs w:val="24"/>
          <w:lang w:eastAsia="it-IT"/>
        </w:rPr>
      </w:pPr>
    </w:p>
    <w:p w:rsidR="00953611" w:rsidRDefault="00953611">
      <w:pPr>
        <w:spacing w:after="0" w:line="240" w:lineRule="auto"/>
        <w:rPr>
          <w:rFonts w:ascii="Tahoma" w:eastAsia="Times New Roman" w:hAnsi="Tahoma" w:cs="Tahoma"/>
          <w:color w:val="000000"/>
          <w:sz w:val="20"/>
          <w:szCs w:val="20"/>
          <w:lang w:eastAsia="it-IT"/>
        </w:rPr>
      </w:pPr>
    </w:p>
    <w:sectPr w:rsidR="00953611" w:rsidSect="009261E8">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53611"/>
    <w:rsid w:val="00313220"/>
    <w:rsid w:val="00386349"/>
    <w:rsid w:val="0050359C"/>
    <w:rsid w:val="005C2F6F"/>
    <w:rsid w:val="00827EC0"/>
    <w:rsid w:val="009261E8"/>
    <w:rsid w:val="00953611"/>
    <w:rsid w:val="00A464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1E8"/>
    <w:pPr>
      <w:suppressAutoHyphens/>
      <w:spacing w:after="16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1"/>
    <w:qFormat/>
    <w:rsid w:val="009261E8"/>
    <w:pPr>
      <w:keepNext/>
      <w:spacing w:before="240" w:after="120"/>
    </w:pPr>
    <w:rPr>
      <w:rFonts w:ascii="Liberation Sans" w:eastAsia="SimSun" w:hAnsi="Liberation Sans" w:cs="Lucida Sans"/>
      <w:sz w:val="28"/>
      <w:szCs w:val="28"/>
    </w:rPr>
  </w:style>
  <w:style w:type="paragraph" w:customStyle="1" w:styleId="Corpodeltesto1">
    <w:name w:val="Corpo del testo1"/>
    <w:basedOn w:val="Normale"/>
    <w:rsid w:val="009261E8"/>
    <w:pPr>
      <w:spacing w:after="140" w:line="288" w:lineRule="auto"/>
    </w:pPr>
  </w:style>
  <w:style w:type="paragraph" w:styleId="Elenco">
    <w:name w:val="List"/>
    <w:basedOn w:val="Corpodeltesto1"/>
    <w:rsid w:val="009261E8"/>
    <w:rPr>
      <w:rFonts w:cs="Lucida Sans"/>
    </w:rPr>
  </w:style>
  <w:style w:type="paragraph" w:styleId="Didascalia">
    <w:name w:val="caption"/>
    <w:basedOn w:val="Normale"/>
    <w:rsid w:val="009261E8"/>
    <w:pPr>
      <w:suppressLineNumbers/>
      <w:spacing w:before="120" w:after="120"/>
    </w:pPr>
    <w:rPr>
      <w:rFonts w:cs="Lucida Sans"/>
      <w:i/>
      <w:iCs/>
      <w:sz w:val="24"/>
      <w:szCs w:val="24"/>
    </w:rPr>
  </w:style>
  <w:style w:type="paragraph" w:customStyle="1" w:styleId="Indice">
    <w:name w:val="Indice"/>
    <w:basedOn w:val="Normale"/>
    <w:qFormat/>
    <w:rsid w:val="009261E8"/>
    <w:pPr>
      <w:suppressLineNumbers/>
    </w:pPr>
    <w:rPr>
      <w:rFonts w:cs="Lucida Sans"/>
    </w:rPr>
  </w:style>
  <w:style w:type="paragraph" w:customStyle="1" w:styleId="Contenutotabella">
    <w:name w:val="Contenuto tabella"/>
    <w:basedOn w:val="Normale"/>
    <w:qFormat/>
    <w:rsid w:val="002E790F"/>
    <w:pPr>
      <w:widowControl w:val="0"/>
      <w:suppressLineNumbers/>
      <w:spacing w:after="200" w:line="240" w:lineRule="auto"/>
    </w:pPr>
    <w:rPr>
      <w:rFonts w:ascii="Cambria" w:eastAsia="Cambria" w:hAnsi="Cambria" w:cs="Cambria"/>
      <w:sz w:val="24"/>
      <w:szCs w:val="24"/>
      <w:lang w:eastAsia="ar-SA"/>
    </w:rPr>
  </w:style>
  <w:style w:type="paragraph" w:styleId="Testofumetto">
    <w:name w:val="Balloon Text"/>
    <w:basedOn w:val="Normale"/>
    <w:link w:val="TestofumettoCarattere"/>
    <w:uiPriority w:val="99"/>
    <w:semiHidden/>
    <w:unhideWhenUsed/>
    <w:rsid w:val="005C2F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Lello Macro</dc:creator>
  <cp:lastModifiedBy>Centrale</cp:lastModifiedBy>
  <cp:revision>2</cp:revision>
  <dcterms:created xsi:type="dcterms:W3CDTF">2021-09-10T17:33:00Z</dcterms:created>
  <dcterms:modified xsi:type="dcterms:W3CDTF">2021-09-10T17:33:00Z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